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103328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B33EEE">
        <w:t>69</w:t>
      </w:r>
      <w:r w:rsidR="00A53AF3">
        <w:t>-210</w:t>
      </w:r>
      <w:r w:rsidR="00407BE7">
        <w:t>5</w:t>
      </w:r>
      <w:r w:rsidR="00597B8C">
        <w:t>/202</w:t>
      </w:r>
      <w:r w:rsidR="00B33EEE">
        <w:t>5</w:t>
      </w:r>
    </w:p>
    <w:p w:rsidR="00B33EEE" w:rsidP="00103328">
      <w:pPr>
        <w:ind w:firstLine="540"/>
        <w:jc w:val="right"/>
      </w:pPr>
      <w:r w:rsidRPr="00B33EEE">
        <w:t>86MS0045-01-2024-008366-59</w:t>
      </w:r>
    </w:p>
    <w:p w:rsidR="00C5576E" w:rsidRPr="008E7F97" w:rsidP="0010332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576E" w:rsidRPr="008E7F97" w:rsidP="0010332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10332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103328">
      <w:pPr>
        <w:ind w:firstLine="540"/>
        <w:jc w:val="both"/>
        <w:rPr>
          <w:sz w:val="28"/>
          <w:szCs w:val="28"/>
        </w:rPr>
      </w:pPr>
    </w:p>
    <w:p w:rsidR="00C5576E" w:rsidRPr="008E7F97" w:rsidP="00103328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Pr="008E7F97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0A0953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20161E">
        <w:rPr>
          <w:sz w:val="28"/>
          <w:szCs w:val="28"/>
        </w:rPr>
        <w:t>29 января 2025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C5576E" w:rsidRPr="008E7F97" w:rsidP="00103328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 - Мансийского автономного округа - Югры </w:t>
      </w:r>
      <w:r>
        <w:rPr>
          <w:sz w:val="28"/>
          <w:szCs w:val="28"/>
        </w:rPr>
        <w:t>Т.А. Лаптева</w:t>
      </w:r>
      <w:r w:rsidRPr="008E7F97">
        <w:rPr>
          <w:sz w:val="28"/>
          <w:szCs w:val="28"/>
        </w:rPr>
        <w:t xml:space="preserve">, 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Pr="008E7F97">
        <w:rPr>
          <w:sz w:val="28"/>
          <w:szCs w:val="28"/>
        </w:rPr>
        <w:t>, г. Нижнев</w:t>
      </w:r>
      <w:r w:rsidRPr="008E7F97">
        <w:rPr>
          <w:sz w:val="28"/>
          <w:szCs w:val="28"/>
        </w:rPr>
        <w:t>артовск,</w:t>
      </w:r>
    </w:p>
    <w:p w:rsidR="00C5576E" w:rsidRPr="008E7F97" w:rsidP="00103328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20161E" w:rsidP="00103328">
      <w:pPr>
        <w:suppressAutoHyphens/>
        <w:ind w:firstLine="567"/>
        <w:jc w:val="both"/>
        <w:rPr>
          <w:sz w:val="28"/>
          <w:szCs w:val="28"/>
        </w:rPr>
      </w:pPr>
      <w:r w:rsidRPr="0020161E">
        <w:rPr>
          <w:sz w:val="28"/>
          <w:szCs w:val="28"/>
        </w:rPr>
        <w:t xml:space="preserve">директора муниципального бюджетного общеобразовательного учреждения «Средняя школа № 13 с углубленным изучением отдельных предметов» Корниловой Татьяны Николаевны, </w:t>
      </w:r>
      <w:r w:rsidR="001E32B6">
        <w:rPr>
          <w:sz w:val="28"/>
          <w:szCs w:val="28"/>
        </w:rPr>
        <w:t>***</w:t>
      </w:r>
      <w:r w:rsidRPr="0020161E">
        <w:rPr>
          <w:sz w:val="28"/>
          <w:szCs w:val="28"/>
        </w:rPr>
        <w:t xml:space="preserve"> года </w:t>
      </w:r>
      <w:r w:rsidRPr="0020161E">
        <w:rPr>
          <w:sz w:val="28"/>
          <w:szCs w:val="28"/>
        </w:rPr>
        <w:t xml:space="preserve">рождения, уроженки </w:t>
      </w:r>
      <w:r w:rsidR="001E32B6">
        <w:rPr>
          <w:sz w:val="28"/>
          <w:szCs w:val="28"/>
        </w:rPr>
        <w:t>***</w:t>
      </w:r>
      <w:r w:rsidRPr="0020161E">
        <w:rPr>
          <w:sz w:val="28"/>
          <w:szCs w:val="28"/>
        </w:rPr>
        <w:t xml:space="preserve">, зарегистрированной и проживающей в </w:t>
      </w:r>
      <w:r w:rsidR="001E32B6">
        <w:rPr>
          <w:sz w:val="28"/>
          <w:szCs w:val="28"/>
        </w:rPr>
        <w:t>***</w:t>
      </w:r>
      <w:r w:rsidRPr="0020161E">
        <w:rPr>
          <w:sz w:val="28"/>
          <w:szCs w:val="28"/>
        </w:rPr>
        <w:t xml:space="preserve">, паспорт </w:t>
      </w:r>
      <w:r w:rsidR="001E32B6">
        <w:rPr>
          <w:sz w:val="28"/>
          <w:szCs w:val="28"/>
        </w:rPr>
        <w:t>***</w:t>
      </w:r>
      <w:r w:rsidRPr="0020161E">
        <w:rPr>
          <w:sz w:val="28"/>
          <w:szCs w:val="28"/>
        </w:rPr>
        <w:t xml:space="preserve">, </w:t>
      </w:r>
    </w:p>
    <w:p w:rsidR="00C5576E" w:rsidP="00103328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УСТАНОВИЛ:</w:t>
      </w:r>
    </w:p>
    <w:p w:rsidR="00DF5FF6" w:rsidRPr="008E7F97" w:rsidP="00103328">
      <w:pPr>
        <w:suppressAutoHyphens/>
        <w:jc w:val="center"/>
        <w:rPr>
          <w:sz w:val="28"/>
          <w:szCs w:val="28"/>
        </w:rPr>
      </w:pPr>
    </w:p>
    <w:p w:rsidR="00B33EEE" w:rsidP="00103328">
      <w:pPr>
        <w:pStyle w:val="BodyTextIndent"/>
        <w:suppressAutoHyphens/>
        <w:rPr>
          <w:sz w:val="28"/>
          <w:szCs w:val="28"/>
          <w:lang w:val="ru-RU"/>
        </w:rPr>
      </w:pPr>
      <w:r w:rsidRPr="0016224B">
        <w:rPr>
          <w:sz w:val="28"/>
          <w:szCs w:val="28"/>
          <w:lang w:val="ru-RU"/>
        </w:rPr>
        <w:t xml:space="preserve">В ходе </w:t>
      </w:r>
      <w:r>
        <w:rPr>
          <w:sz w:val="28"/>
          <w:szCs w:val="28"/>
          <w:lang w:val="ru-RU"/>
        </w:rPr>
        <w:t xml:space="preserve">проверки </w:t>
      </w:r>
      <w:r w:rsidRPr="0016224B">
        <w:rPr>
          <w:sz w:val="28"/>
          <w:szCs w:val="28"/>
          <w:lang w:val="ru-RU"/>
        </w:rPr>
        <w:t>исполнения договора от 01.01.2023 №01-</w:t>
      </w:r>
      <w:r w:rsidRPr="0016224B">
        <w:rPr>
          <w:sz w:val="28"/>
          <w:szCs w:val="28"/>
          <w:lang w:val="ru-RU"/>
        </w:rPr>
        <w:t xml:space="preserve">01/01/2023 (далее - контракт), заключенного с лечебно-профилактическим учреждением "Семейный доктор" на сумму 17 640,00 руб., директором </w:t>
      </w:r>
      <w:r w:rsidR="00103328">
        <w:rPr>
          <w:sz w:val="28"/>
          <w:szCs w:val="28"/>
          <w:lang w:val="ru-RU"/>
        </w:rPr>
        <w:t xml:space="preserve">муниципального бюджетного общеобразовательного  учреждения «Средняя школа № 13 с углубленным изучением отдельных предметов» (далее по тексту – учреждение) </w:t>
      </w:r>
      <w:r w:rsidRPr="0016224B">
        <w:rPr>
          <w:sz w:val="28"/>
          <w:szCs w:val="28"/>
          <w:lang w:val="ru-RU"/>
        </w:rPr>
        <w:t>Корниловой Т</w:t>
      </w:r>
      <w:r w:rsidR="00103328">
        <w:rPr>
          <w:sz w:val="28"/>
          <w:szCs w:val="28"/>
          <w:lang w:val="ru-RU"/>
        </w:rPr>
        <w:t>.Н.</w:t>
      </w:r>
      <w:r w:rsidRPr="00B33EEE" w:rsidR="00103328">
        <w:rPr>
          <w:sz w:val="28"/>
          <w:szCs w:val="28"/>
          <w:lang w:val="ru-RU"/>
        </w:rPr>
        <w:t xml:space="preserve"> </w:t>
      </w:r>
      <w:r w:rsidRPr="00B33EEE">
        <w:rPr>
          <w:sz w:val="28"/>
          <w:szCs w:val="28"/>
          <w:lang w:val="ru-RU"/>
        </w:rPr>
        <w:t>за январь, сентябрь, ноябрь, декабрь 2023 года произведена приемка услуг по предрейсовому и послерейсовому осмотру (далее - услуги) по актам от</w:t>
      </w:r>
      <w:r w:rsidRPr="00B33EEE">
        <w:rPr>
          <w:sz w:val="28"/>
          <w:szCs w:val="28"/>
          <w:lang w:val="ru-RU"/>
        </w:rPr>
        <w:t xml:space="preserve"> 31.01.2023 №80, от 31.08.2023 №939, от 30.11.2023 №1457, от 31.12.2023 №1586 на общую сумму 6 930,00 руб., содержащим фактически неоказанные услуги в количестве 52 единиц на общую сумму 3 640,00 руб., тем самым в регистре бухгалтерского учета "Журнале опе</w:t>
      </w:r>
      <w:r w:rsidRPr="00B33EEE">
        <w:rPr>
          <w:sz w:val="28"/>
          <w:szCs w:val="28"/>
          <w:lang w:val="ru-RU"/>
        </w:rPr>
        <w:t>раций расчетов с поставщиками и подрядчиками" (ф.0504071) (далее - Журнал операций №4) за январь, сентябрь, декабрь 2023 года, а именно 31.01.2023, 04.09.2023, 08.12.2023, 31.12.2023 по Кредиту счета 07020000000000244.4.302.26.734 Дебету счета 070200000000</w:t>
      </w:r>
      <w:r w:rsidRPr="00B33EEE">
        <w:rPr>
          <w:sz w:val="28"/>
          <w:szCs w:val="28"/>
          <w:lang w:val="ru-RU"/>
        </w:rPr>
        <w:t>00244.4.109.80.226 произведена регистрация фактов хозяйственной жизни по принятию услуг на сумму 3 640,00 руб., а именно регистрация мнимых объектов бухгалтерского учета, не имевших места фактов хозяйственной жизни по отражению в бухгалтерском учете услуг,</w:t>
      </w:r>
      <w:r w:rsidRPr="00B33EEE">
        <w:rPr>
          <w:sz w:val="28"/>
          <w:szCs w:val="28"/>
          <w:lang w:val="ru-RU"/>
        </w:rPr>
        <w:t xml:space="preserve"> предусмотренных контрактом, которые фактически не оказаны на сумму 3 640,00 руб.</w:t>
      </w:r>
    </w:p>
    <w:p w:rsidR="00762279" w:rsidP="00103328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судебном заседании представитель а</w:t>
      </w:r>
      <w:r w:rsidR="001A3088">
        <w:rPr>
          <w:sz w:val="28"/>
          <w:szCs w:val="28"/>
          <w:lang w:val="ru-RU"/>
        </w:rPr>
        <w:t xml:space="preserve">дминистративного органа </w:t>
      </w:r>
      <w:r w:rsidR="001E32B6">
        <w:rPr>
          <w:sz w:val="28"/>
          <w:szCs w:val="28"/>
          <w:lang w:val="ru-RU"/>
        </w:rPr>
        <w:t>ФИО1</w:t>
      </w:r>
      <w:r>
        <w:rPr>
          <w:sz w:val="28"/>
          <w:szCs w:val="28"/>
          <w:lang w:val="ru-RU"/>
        </w:rPr>
        <w:t xml:space="preserve"> настаивала на обстоятельствах, изложенных в протоколе об административном правонарушении.  </w:t>
      </w:r>
    </w:p>
    <w:p w:rsidR="00B33EEE" w:rsidRPr="000273C0" w:rsidP="00103328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>На рассмо</w:t>
      </w:r>
      <w:r>
        <w:rPr>
          <w:sz w:val="28"/>
        </w:rPr>
        <w:t xml:space="preserve">трение дела об административном правонарушении </w:t>
      </w:r>
      <w:r w:rsidR="0016224B">
        <w:rPr>
          <w:sz w:val="28"/>
        </w:rPr>
        <w:t>Корнилова Т.Н.</w:t>
      </w:r>
      <w:r w:rsidR="00D852CE">
        <w:rPr>
          <w:sz w:val="28"/>
        </w:rPr>
        <w:t xml:space="preserve"> </w:t>
      </w:r>
      <w:r>
        <w:rPr>
          <w:sz w:val="28"/>
        </w:rPr>
        <w:t xml:space="preserve">не явилась, </w:t>
      </w:r>
      <w:r w:rsidRPr="00266F79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>
        <w:rPr>
          <w:sz w:val="28"/>
          <w:szCs w:val="28"/>
        </w:rPr>
        <w:t xml:space="preserve">извещалась </w:t>
      </w:r>
      <w:r w:rsidRPr="000273C0">
        <w:rPr>
          <w:sz w:val="28"/>
          <w:szCs w:val="28"/>
        </w:rPr>
        <w:t xml:space="preserve">по месту жительства судебной повесткой, которая вернулась обратно по истечению срока хранения. </w:t>
      </w:r>
    </w:p>
    <w:p w:rsidR="00B33EEE" w:rsidP="00103328">
      <w:pPr>
        <w:pStyle w:val="BodyTextIndent"/>
        <w:rPr>
          <w:sz w:val="28"/>
          <w:lang w:val="ru-RU"/>
        </w:rPr>
      </w:pPr>
      <w:r w:rsidRPr="000273C0">
        <w:rPr>
          <w:sz w:val="28"/>
          <w:szCs w:val="28"/>
        </w:rPr>
        <w:t>Руко</w:t>
      </w:r>
      <w:r w:rsidRPr="000273C0">
        <w:rPr>
          <w:sz w:val="28"/>
          <w:szCs w:val="28"/>
        </w:rPr>
        <w:t>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</w:t>
      </w:r>
      <w:r w:rsidRPr="000273C0">
        <w:rPr>
          <w:sz w:val="28"/>
          <w:szCs w:val="28"/>
        </w:rPr>
        <w:t>ативных правонарушениях, мировой судья полагает возможным рассмотреть дело об административном правонарушении в отсутствие</w:t>
      </w:r>
      <w:r w:rsidRPr="00B33EEE">
        <w:rPr>
          <w:sz w:val="28"/>
          <w:lang w:val="ru-RU"/>
        </w:rPr>
        <w:t xml:space="preserve"> </w:t>
      </w:r>
      <w:r>
        <w:rPr>
          <w:sz w:val="28"/>
          <w:lang w:val="ru-RU"/>
        </w:rPr>
        <w:t>Корниловой Т.Н.</w:t>
      </w:r>
    </w:p>
    <w:p w:rsidR="00103328" w:rsidP="00103328">
      <w:pPr>
        <w:pStyle w:val="BlockText"/>
        <w:tabs>
          <w:tab w:val="left" w:pos="540"/>
        </w:tabs>
        <w:spacing w:line="240" w:lineRule="auto"/>
        <w:ind w:left="0" w:right="0" w:firstLine="567"/>
        <w:rPr>
          <w:sz w:val="28"/>
        </w:rPr>
      </w:pPr>
      <w:r>
        <w:rPr>
          <w:sz w:val="28"/>
        </w:rPr>
        <w:t>Мировой судья, выслушав представителя административного органа, изучив материалы дела, приходит к следующему.</w:t>
      </w:r>
    </w:p>
    <w:p w:rsidR="00103328" w:rsidP="00103328">
      <w:pPr>
        <w:pStyle w:val="10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>
        <w:rPr>
          <w:color w:val="000000" w:themeColor="text1"/>
          <w:spacing w:val="0"/>
          <w:sz w:val="28"/>
          <w:szCs w:val="28"/>
          <w:lang w:eastAsia="ar-SA"/>
        </w:rPr>
        <w:t>У</w:t>
      </w:r>
      <w:r w:rsidRPr="00C253D3">
        <w:rPr>
          <w:color w:val="000000" w:themeColor="text1"/>
          <w:spacing w:val="0"/>
          <w:sz w:val="28"/>
          <w:szCs w:val="28"/>
          <w:lang w:eastAsia="ar-SA"/>
        </w:rPr>
        <w:t>чреждением с лечебно-профилактическим учреждением "Семейный доктор" заключен контракт на оказание услуг по предрейсовому и послерейсовому осмотру (далее - услуги) на сумму 17 640,00 руб.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В нарушение части 1 статьи 94 Федерального закона о контрактной систе</w:t>
      </w:r>
      <w:r w:rsidRPr="00103328">
        <w:rPr>
          <w:spacing w:val="0"/>
          <w:sz w:val="28"/>
          <w:szCs w:val="28"/>
          <w:lang w:eastAsia="ar-SA"/>
        </w:rPr>
        <w:t>ме, пункта 1 контракта, приложения №1 к контракту (спецификации) директором учреждения Корниловой Татьяной Николаевной произведена приемка и оплата фактически неоказанных услуг в количестве 52 единиц на общую сумму 3 640,00 руб., учитывая, что согласно акт</w:t>
      </w:r>
      <w:r w:rsidRPr="00103328">
        <w:rPr>
          <w:spacing w:val="0"/>
          <w:sz w:val="28"/>
          <w:szCs w:val="28"/>
          <w:lang w:eastAsia="ar-SA"/>
        </w:rPr>
        <w:t>ам от 31.01.2023 №80, от 31.08.2023 №939, от 30.11.2023 №1457, от 31.12.2023 №1586 оказание услуг 52 единицы не подтверждается путевыми листами, которыми согласно пункту 2.4 контракта должны подтверждаться факты оказания услуг.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В соответствии с пунктом 8 с</w:t>
      </w:r>
      <w:r w:rsidRPr="00103328">
        <w:rPr>
          <w:spacing w:val="0"/>
          <w:sz w:val="28"/>
          <w:szCs w:val="28"/>
          <w:lang w:eastAsia="ar-SA"/>
        </w:rPr>
        <w:t>татьи 3 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</w:t>
      </w:r>
      <w:r w:rsidRPr="00103328">
        <w:rPr>
          <w:spacing w:val="0"/>
          <w:sz w:val="28"/>
          <w:szCs w:val="28"/>
          <w:lang w:eastAsia="ar-SA"/>
        </w:rPr>
        <w:t>едств. Следовательно, такие события или операции оформляются первичными учетными документами.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В силу статьи 5 Федерального закона №402-ФЗ объектами бухгалтерского учета экономического субъекта являются: факты хозяйственной жизни, активы, обязательства, ист</w:t>
      </w:r>
      <w:r w:rsidRPr="00103328">
        <w:rPr>
          <w:spacing w:val="0"/>
          <w:sz w:val="28"/>
          <w:szCs w:val="28"/>
          <w:lang w:eastAsia="ar-SA"/>
        </w:rPr>
        <w:t>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 xml:space="preserve">Согласно частям 1 и 3 статьи 9 Федерального закона №402-ФЗ каждый факт хозяйственной жизни подлежит оформлению первичным учетным </w:t>
      </w:r>
      <w:r w:rsidRPr="00103328">
        <w:rPr>
          <w:spacing w:val="0"/>
          <w:sz w:val="28"/>
          <w:szCs w:val="28"/>
          <w:lang w:eastAsia="ar-SA"/>
        </w:rPr>
        <w:t>документом, который должен быть составлен при совершении факта хозяйственной жизни, а если это не представляется возможным - непосредственно после его окончания. Не допускается принятие к бухгалтерскому учету документов, которыми оформляются не имевшие мес</w:t>
      </w:r>
      <w:r w:rsidRPr="00103328">
        <w:rPr>
          <w:spacing w:val="0"/>
          <w:sz w:val="28"/>
          <w:szCs w:val="28"/>
          <w:lang w:eastAsia="ar-SA"/>
        </w:rPr>
        <w:t>та факты хозяйственной жизни.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Частью 2 статьи 10 Федерального закона №402-ФЗ установлена недопустимость регистрации мнимых объектов бухгалтерского учета в регистрах бухгалтерского учета, под мнимым объектом бухгалтерского учета понимается несуществующий об</w:t>
      </w:r>
      <w:r w:rsidRPr="00103328">
        <w:rPr>
          <w:spacing w:val="0"/>
          <w:sz w:val="28"/>
          <w:szCs w:val="28"/>
          <w:lang w:eastAsia="ar-SA"/>
        </w:rPr>
        <w:t>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В соответствии с пунктами 20, 21 Стандарта №256н объекты бухгалтерского учета, а также из</w:t>
      </w:r>
      <w:r w:rsidRPr="00103328">
        <w:rPr>
          <w:spacing w:val="0"/>
          <w:sz w:val="28"/>
          <w:szCs w:val="28"/>
          <w:lang w:eastAsia="ar-SA"/>
        </w:rPr>
        <w:t xml:space="preserve">меняющие их факты хозяйственной жизни отражаются в бухгалтерском учете на основании первичных учетных документов в том </w:t>
      </w:r>
      <w:r w:rsidRPr="00103328">
        <w:rPr>
          <w:spacing w:val="0"/>
          <w:sz w:val="28"/>
          <w:szCs w:val="28"/>
          <w:lang w:eastAsia="ar-SA"/>
        </w:rPr>
        <w:t>отчетном периоде, в котором имели место факты хозяйственной жизни, приведшие к возникновению и (или) изменению соответствующих активов, о</w:t>
      </w:r>
      <w:r w:rsidRPr="00103328">
        <w:rPr>
          <w:spacing w:val="0"/>
          <w:sz w:val="28"/>
          <w:szCs w:val="28"/>
          <w:lang w:eastAsia="ar-SA"/>
        </w:rPr>
        <w:t>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операций.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Согласно пункту 3 Инструкции №157н, пу</w:t>
      </w:r>
      <w:r w:rsidRPr="00103328">
        <w:rPr>
          <w:spacing w:val="0"/>
          <w:sz w:val="28"/>
          <w:szCs w:val="28"/>
          <w:lang w:eastAsia="ar-SA"/>
        </w:rPr>
        <w:t>нктам 23, 24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</w:t>
      </w:r>
      <w:r w:rsidRPr="00103328">
        <w:rPr>
          <w:spacing w:val="0"/>
          <w:sz w:val="28"/>
          <w:szCs w:val="28"/>
          <w:lang w:eastAsia="ar-SA"/>
        </w:rPr>
        <w:t>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 Своевременное и качественное оформление первичных учетных документов, передачу их в установле</w:t>
      </w:r>
      <w:r w:rsidRPr="00103328">
        <w:rPr>
          <w:spacing w:val="0"/>
          <w:sz w:val="28"/>
          <w:szCs w:val="28"/>
          <w:lang w:eastAsia="ar-SA"/>
        </w:rPr>
        <w:t>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(или) подписавшие эти документы. Лицо, на которое возложено ведение бухгалтерского уч</w:t>
      </w:r>
      <w:r w:rsidRPr="00103328">
        <w:rPr>
          <w:spacing w:val="0"/>
          <w:sz w:val="28"/>
          <w:szCs w:val="28"/>
          <w:lang w:eastAsia="ar-SA"/>
        </w:rPr>
        <w:t>ета, не несет ответственность за соответствие составленных другими лицами первичных учетных документов свершившимся фактам хозяйственной жизни.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Согласно пункту 29 Стандарта №256н факты хозяйственной жизни отражаются в регистрах бухгалтерского учета в хроно</w:t>
      </w:r>
      <w:r w:rsidRPr="00103328">
        <w:rPr>
          <w:spacing w:val="0"/>
          <w:sz w:val="28"/>
          <w:szCs w:val="28"/>
          <w:lang w:eastAsia="ar-SA"/>
        </w:rPr>
        <w:t>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бухгалтерск</w:t>
      </w:r>
      <w:r w:rsidRPr="00103328">
        <w:rPr>
          <w:spacing w:val="0"/>
          <w:sz w:val="28"/>
          <w:szCs w:val="28"/>
          <w:lang w:eastAsia="ar-SA"/>
        </w:rPr>
        <w:t>ому учету, но не позднее следующего дня после получения (составления) первичных (сводных) учетных документов.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Согласно пункту 11 Инструкции №157н правильность отражения фактов хозяйственной жизни в регистрах бухгалтерского учета согласно предоставленным дл</w:t>
      </w:r>
      <w:r w:rsidRPr="00103328">
        <w:rPr>
          <w:spacing w:val="0"/>
          <w:sz w:val="28"/>
          <w:szCs w:val="28"/>
          <w:lang w:eastAsia="ar-SA"/>
        </w:rPr>
        <w:t>я регистрации первичным учетным документам обеспечивают лица, составившие и подписавшие их.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Согласно приложению 3 к Приказу №52н "Журнал операций №4", является регистром бухгалтерского учета.</w:t>
      </w:r>
    </w:p>
    <w:p w:rsidR="00103328" w:rsidRPr="00103328" w:rsidP="00103328">
      <w:pPr>
        <w:pStyle w:val="10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103328">
        <w:rPr>
          <w:spacing w:val="0"/>
          <w:sz w:val="28"/>
          <w:szCs w:val="28"/>
          <w:lang w:eastAsia="ar-SA"/>
        </w:rPr>
        <w:t>Согласно разделу 3 "Применение и формирование регистров бухгалте</w:t>
      </w:r>
      <w:r w:rsidRPr="00103328">
        <w:rPr>
          <w:spacing w:val="0"/>
          <w:sz w:val="28"/>
          <w:szCs w:val="28"/>
          <w:lang w:eastAsia="ar-SA"/>
        </w:rPr>
        <w:t>рского учета" приложения 5 к Приказу №52н записи в Журнале операций №4 производятся на основании первичных (сводных) учетных документов, подтверждающих принятие учреждением перед поставщиками (подрядчиками, исполнителями), иными участниками договоров (согл</w:t>
      </w:r>
      <w:r w:rsidRPr="00103328">
        <w:rPr>
          <w:spacing w:val="0"/>
          <w:sz w:val="28"/>
          <w:szCs w:val="28"/>
          <w:lang w:eastAsia="ar-SA"/>
        </w:rPr>
        <w:t>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</w:p>
    <w:p w:rsidR="00DD3349" w:rsidP="005472A9">
      <w:pPr>
        <w:pStyle w:val="10"/>
        <w:shd w:val="clear" w:color="auto" w:fill="auto"/>
        <w:spacing w:before="0" w:after="0" w:line="240" w:lineRule="auto"/>
        <w:ind w:left="40" w:firstLine="561"/>
        <w:rPr>
          <w:sz w:val="28"/>
          <w:szCs w:val="28"/>
        </w:rPr>
      </w:pPr>
      <w:r w:rsidRPr="00DD3349">
        <w:rPr>
          <w:sz w:val="28"/>
          <w:szCs w:val="28"/>
        </w:rPr>
        <w:t>Согласно Распоряжению администрации города Нижневартовска Ханты-Мансийского автономного округа-Югры от 17.0</w:t>
      </w:r>
      <w:r w:rsidRPr="00DD3349">
        <w:rPr>
          <w:sz w:val="28"/>
          <w:szCs w:val="28"/>
        </w:rPr>
        <w:t>9.2021 № 562-лс Корнилова Т.Н. назначена на должность директора МБОУ «Средняя школа № 13» сроком на 1 год с 22 сентября 2021 по 21 сентября 2022 года. Распоряжени</w:t>
      </w:r>
      <w:r w:rsidR="00AA4DBD">
        <w:rPr>
          <w:sz w:val="28"/>
          <w:szCs w:val="28"/>
        </w:rPr>
        <w:t>ем</w:t>
      </w:r>
      <w:r w:rsidRPr="00DD3349">
        <w:rPr>
          <w:sz w:val="28"/>
          <w:szCs w:val="28"/>
        </w:rPr>
        <w:t xml:space="preserve"> от </w:t>
      </w:r>
      <w:r w:rsidRPr="00DD3349">
        <w:rPr>
          <w:sz w:val="28"/>
          <w:szCs w:val="28"/>
        </w:rPr>
        <w:t>13.09.2022 № 459-лс срок трудового договора № 61 от 17 сентября 2021 продлен по 21 сентя</w:t>
      </w:r>
      <w:r w:rsidRPr="00DD3349">
        <w:rPr>
          <w:sz w:val="28"/>
          <w:szCs w:val="28"/>
        </w:rPr>
        <w:t xml:space="preserve">бря 2026 года. </w:t>
      </w:r>
    </w:p>
    <w:p w:rsidR="005472A9" w:rsidRPr="005472A9" w:rsidP="005472A9">
      <w:pPr>
        <w:pStyle w:val="10"/>
        <w:spacing w:before="0" w:after="0" w:line="240" w:lineRule="auto"/>
        <w:ind w:left="40" w:firstLine="561"/>
        <w:rPr>
          <w:sz w:val="28"/>
          <w:szCs w:val="28"/>
        </w:rPr>
      </w:pPr>
      <w:r w:rsidRPr="005472A9">
        <w:rPr>
          <w:sz w:val="28"/>
          <w:szCs w:val="28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 w:rsidRPr="005472A9">
        <w:rPr>
          <w:sz w:val="28"/>
          <w:szCs w:val="28"/>
        </w:rPr>
        <w:t>нием своих служебных обязанностей. 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</w:t>
      </w:r>
      <w:r w:rsidRPr="005472A9">
        <w:rPr>
          <w:sz w:val="28"/>
          <w:szCs w:val="28"/>
        </w:rPr>
        <w:t>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</w:t>
      </w:r>
      <w:r w:rsidRPr="005472A9">
        <w:rPr>
          <w:sz w:val="28"/>
          <w:szCs w:val="28"/>
        </w:rPr>
        <w:t xml:space="preserve">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5472A9" w:rsidRPr="005472A9" w:rsidP="005472A9">
      <w:pPr>
        <w:pStyle w:val="10"/>
        <w:spacing w:before="0" w:after="0" w:line="240" w:lineRule="auto"/>
        <w:ind w:left="40" w:firstLine="561"/>
        <w:rPr>
          <w:sz w:val="28"/>
          <w:szCs w:val="28"/>
        </w:rPr>
      </w:pPr>
      <w:r w:rsidRPr="005472A9">
        <w:rPr>
          <w:sz w:val="28"/>
          <w:szCs w:val="28"/>
        </w:rPr>
        <w:t xml:space="preserve">В соответствии с частью 4 статьи 15.15.6 Кодекса Российской Федерации об административных </w:t>
      </w:r>
      <w:r w:rsidRPr="005472A9">
        <w:rPr>
          <w:sz w:val="28"/>
          <w:szCs w:val="28"/>
        </w:rPr>
        <w:t>правонарушениях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</w:t>
      </w:r>
      <w:r w:rsidRPr="005472A9">
        <w:rPr>
          <w:sz w:val="28"/>
          <w:szCs w:val="28"/>
        </w:rPr>
        <w:t xml:space="preserve">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тысяч рублей. </w:t>
      </w:r>
    </w:p>
    <w:p w:rsidR="005472A9" w:rsidRPr="005472A9" w:rsidP="005472A9">
      <w:pPr>
        <w:pStyle w:val="10"/>
        <w:spacing w:before="0" w:after="0" w:line="240" w:lineRule="auto"/>
        <w:ind w:left="40" w:firstLine="561"/>
        <w:rPr>
          <w:sz w:val="28"/>
          <w:szCs w:val="28"/>
        </w:rPr>
      </w:pPr>
      <w:r w:rsidRPr="005472A9">
        <w:rPr>
          <w:sz w:val="28"/>
          <w:szCs w:val="28"/>
        </w:rPr>
        <w:t xml:space="preserve">При этом пунктом 1 примечания к указанной </w:t>
      </w:r>
      <w:r w:rsidRPr="005472A9">
        <w:rPr>
          <w:sz w:val="28"/>
          <w:szCs w:val="28"/>
        </w:rPr>
        <w:t>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вед</w:t>
      </w:r>
      <w:r w:rsidRPr="005472A9">
        <w:rPr>
          <w:sz w:val="28"/>
          <w:szCs w:val="28"/>
        </w:rPr>
        <w:t>ению бюджетного учета и (или) составлению бюджетной отчетности.</w:t>
      </w:r>
    </w:p>
    <w:p w:rsidR="005472A9" w:rsidRPr="005472A9" w:rsidP="005472A9">
      <w:pPr>
        <w:pStyle w:val="10"/>
        <w:spacing w:before="0" w:after="0" w:line="240" w:lineRule="auto"/>
        <w:ind w:left="40" w:firstLine="561"/>
        <w:rPr>
          <w:sz w:val="28"/>
          <w:szCs w:val="28"/>
        </w:rPr>
      </w:pPr>
      <w:r w:rsidRPr="005472A9">
        <w:rPr>
          <w:sz w:val="28"/>
          <w:szCs w:val="28"/>
        </w:rPr>
        <w:t xml:space="preserve">При этом примечанием 5 к статье 15.15.6 Кодекса Российской Федерации об административных правонарушениях установлено, что предусмотренная настоящей статьей административная ответственность не </w:t>
      </w:r>
      <w:r w:rsidRPr="005472A9">
        <w:rPr>
          <w:sz w:val="28"/>
          <w:szCs w:val="28"/>
        </w:rPr>
        <w:t>применяется к лицу, на которое возложено ведение бюджетного (бухгалтерского) учета, и лицу, с которым заключен договор об оказании услуг по ведению бюджетного (бухгалтерского) учета, в случае, если такое искажение допущено в результате несоответствия соста</w:t>
      </w:r>
      <w:r w:rsidRPr="005472A9">
        <w:rPr>
          <w:sz w:val="28"/>
          <w:szCs w:val="28"/>
        </w:rPr>
        <w:t>вленных другими лицами первичных учетных документов свершившимся фактам хозяйственной жизни и (или) непередачи либо несвоевременной передачи первичных учетных документов для регистрации содержащихся в них данных в регистрах бухгалтерского учета.</w:t>
      </w:r>
    </w:p>
    <w:p w:rsidR="005472A9" w:rsidRPr="005472A9" w:rsidP="005472A9">
      <w:pPr>
        <w:pStyle w:val="10"/>
        <w:spacing w:before="0" w:after="0" w:line="240" w:lineRule="auto"/>
        <w:ind w:left="40" w:firstLine="561"/>
        <w:rPr>
          <w:sz w:val="28"/>
          <w:szCs w:val="28"/>
        </w:rPr>
      </w:pPr>
      <w:r w:rsidRPr="005472A9">
        <w:rPr>
          <w:sz w:val="28"/>
          <w:szCs w:val="28"/>
        </w:rPr>
        <w:t xml:space="preserve"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 </w:t>
      </w:r>
      <w:r w:rsidRPr="005472A9">
        <w:rPr>
          <w:sz w:val="28"/>
          <w:szCs w:val="28"/>
        </w:rPr>
        <w:t>статьи 26.11 КоАП РФ и свидетельствуют о виновности должностно</w:t>
      </w:r>
      <w:r w:rsidRPr="005472A9">
        <w:rPr>
          <w:sz w:val="28"/>
          <w:szCs w:val="28"/>
        </w:rPr>
        <w:t>го лица Корниловой Т.Н. в совершении указанного административного правонарушения.</w:t>
      </w:r>
    </w:p>
    <w:p w:rsidR="005472A9" w:rsidP="005472A9">
      <w:pPr>
        <w:pStyle w:val="10"/>
        <w:spacing w:before="0" w:after="0" w:line="240" w:lineRule="auto"/>
        <w:ind w:left="40" w:firstLine="561"/>
        <w:rPr>
          <w:sz w:val="28"/>
          <w:szCs w:val="28"/>
        </w:rPr>
      </w:pPr>
      <w:r w:rsidRPr="005472A9">
        <w:rPr>
          <w:sz w:val="28"/>
          <w:szCs w:val="28"/>
        </w:rPr>
        <w:t xml:space="preserve">Оценивая доказательства в их совокупности, мировой судья квалифицирует её действия по ч. 4 ст. 15.15.6 Кодекса Российской Федерации об административных правонарушениях. </w:t>
      </w:r>
    </w:p>
    <w:p w:rsidR="00344637" w:rsidRPr="00156F96" w:rsidP="00103328">
      <w:pPr>
        <w:pStyle w:val="10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 xml:space="preserve">Все </w:t>
      </w:r>
      <w:r w:rsidRPr="00156F96">
        <w:rPr>
          <w:sz w:val="28"/>
          <w:szCs w:val="28"/>
        </w:rPr>
        <w:t>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</w:t>
      </w:r>
      <w:r w:rsidR="00DF5FF6">
        <w:rPr>
          <w:sz w:val="28"/>
          <w:szCs w:val="28"/>
        </w:rPr>
        <w:t>должностного</w:t>
      </w:r>
      <w:r w:rsidRPr="00156F96">
        <w:rPr>
          <w:sz w:val="28"/>
          <w:szCs w:val="28"/>
        </w:rPr>
        <w:t xml:space="preserve"> лица </w:t>
      </w:r>
      <w:r w:rsidR="00565B81">
        <w:rPr>
          <w:sz w:val="28"/>
          <w:szCs w:val="28"/>
        </w:rPr>
        <w:t>Корниловой Т.Н</w:t>
      </w:r>
      <w:r w:rsidR="00DF5FF6">
        <w:rPr>
          <w:sz w:val="28"/>
          <w:szCs w:val="28"/>
        </w:rPr>
        <w:t xml:space="preserve">. </w:t>
      </w:r>
      <w:r w:rsidRPr="00156F96">
        <w:rPr>
          <w:sz w:val="28"/>
          <w:szCs w:val="28"/>
        </w:rPr>
        <w:t>в совершении указанного административного правонарушения.</w:t>
      </w:r>
    </w:p>
    <w:p w:rsidR="00DD3601" w:rsidP="00103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4.2 КоАП РФ к смягчающему вину обстоятельству мировой судья относит признание </w:t>
      </w:r>
      <w:r>
        <w:rPr>
          <w:sz w:val="28"/>
          <w:szCs w:val="28"/>
        </w:rPr>
        <w:t>вины.</w:t>
      </w:r>
    </w:p>
    <w:p w:rsidR="00DD3601" w:rsidP="00103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FE7663" w:rsidRPr="00FE7663" w:rsidP="00103328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Решая вопрос о назначении меры ответственности, мировой судья учитывает следующее.</w:t>
      </w:r>
    </w:p>
    <w:p w:rsidR="00C54392" w:rsidP="00103328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В соответствии с частью 1 статьи 4.1.1 Код</w:t>
      </w:r>
      <w:r w:rsidRPr="00FE7663">
        <w:rPr>
          <w:sz w:val="28"/>
          <w:szCs w:val="28"/>
        </w:rPr>
        <w:t xml:space="preserve">екса Российской Федерации об административных правонарушениях </w:t>
      </w:r>
      <w:r>
        <w:rPr>
          <w:sz w:val="28"/>
          <w:szCs w:val="28"/>
        </w:rPr>
        <w:t>з</w:t>
      </w:r>
      <w:r w:rsidRPr="00C333B8">
        <w:rPr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C333B8">
        <w:rPr>
          <w:sz w:val="28"/>
          <w:szCs w:val="28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C333B8">
        <w:rPr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54392" w:rsidRPr="00FE7663" w:rsidP="00103328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Согласно части 2 статьи 3.4 Кодекса Российской Федерации об административных правонаруш</w:t>
      </w:r>
      <w:r w:rsidRPr="00FE7663">
        <w:rPr>
          <w:sz w:val="28"/>
          <w:szCs w:val="28"/>
        </w:rPr>
        <w:t>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</w:t>
      </w:r>
      <w:r w:rsidRPr="00FE7663">
        <w:rPr>
          <w:sz w:val="28"/>
          <w:szCs w:val="28"/>
        </w:rPr>
        <w:t>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54392" w:rsidRPr="00FE7663" w:rsidP="00103328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По смыслу взаимосвязанных положен</w:t>
      </w:r>
      <w:r w:rsidRPr="00FE7663">
        <w:rPr>
          <w:sz w:val="28"/>
          <w:szCs w:val="28"/>
        </w:rPr>
        <w:t>ий части 2 статьи 3.4 и части 1 статьи 4.1.1 Кодекса Российской Федерации об административных правонарушениях, в отсутствие совокупности всех упомянутых обстоятельств (условий применения административного наказания в виде предупреждения) возможность замены</w:t>
      </w:r>
      <w:r w:rsidRPr="00FE7663">
        <w:rPr>
          <w:sz w:val="28"/>
          <w:szCs w:val="28"/>
        </w:rPr>
        <w:t xml:space="preserve"> административного наказания в виде административного штрафа на предупреждение не допускается.</w:t>
      </w:r>
    </w:p>
    <w:p w:rsidR="00C54392" w:rsidP="00103328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виде административного штрафа не подл</w:t>
      </w:r>
      <w:r w:rsidRPr="00FE7663">
        <w:rPr>
          <w:sz w:val="28"/>
          <w:szCs w:val="28"/>
        </w:rPr>
        <w:t xml:space="preserve">ежит замене на предупреждение в случае совершения административного правонарушения, предусмотренного </w:t>
      </w:r>
      <w:r w:rsidRPr="00C333B8">
        <w:rPr>
          <w:sz w:val="28"/>
          <w:szCs w:val="28"/>
        </w:rPr>
        <w:t>статьями 13.15, 13.37, 14.31 - 14.33, 14.56, 15.21, 15.27.3, 15.30, 19.3, 19.5, 19.5.1, 19.6, 19.8 - 19.8.2, 19.23, частями 2 и 3 статьи 19.27, статьями 19</w:t>
      </w:r>
      <w:r w:rsidRPr="00C333B8">
        <w:rPr>
          <w:sz w:val="28"/>
          <w:szCs w:val="28"/>
        </w:rPr>
        <w:t>.28, 19.29, 19.30, 19.33, 19.34, 20.3, частью 2 статьи 20.28 настоящего Кодекса.</w:t>
      </w:r>
    </w:p>
    <w:p w:rsidR="00FE7663" w:rsidRPr="00FE7663" w:rsidP="00103328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 xml:space="preserve">Таким образом, административное правонарушение, предусмотренное </w:t>
      </w:r>
      <w:r w:rsidR="00A30408">
        <w:rPr>
          <w:sz w:val="28"/>
          <w:szCs w:val="28"/>
        </w:rPr>
        <w:t xml:space="preserve">ч. 4 </w:t>
      </w:r>
      <w:r w:rsidRPr="00FE7663">
        <w:rPr>
          <w:sz w:val="28"/>
          <w:szCs w:val="28"/>
        </w:rPr>
        <w:t>ст</w:t>
      </w:r>
      <w:r w:rsidR="00A30408">
        <w:rPr>
          <w:sz w:val="28"/>
          <w:szCs w:val="28"/>
        </w:rPr>
        <w:t>. 15.15.6</w:t>
      </w:r>
      <w:r w:rsidRPr="00FE7663">
        <w:rPr>
          <w:sz w:val="28"/>
          <w:szCs w:val="28"/>
        </w:rPr>
        <w:t xml:space="preserve"> Кодекса Российской Федерации об административных правонарушениях, не отнесено к правонарушения</w:t>
      </w:r>
      <w:r w:rsidRPr="00FE7663">
        <w:rPr>
          <w:sz w:val="28"/>
          <w:szCs w:val="28"/>
        </w:rPr>
        <w:t>м, при совершении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DF5FF6" w:rsidP="00103328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Доказательства, свидетельствующие о т</w:t>
      </w:r>
      <w:r w:rsidRPr="00FE7663">
        <w:rPr>
          <w:sz w:val="28"/>
          <w:szCs w:val="28"/>
        </w:rPr>
        <w:t xml:space="preserve">ом, что директор </w:t>
      </w:r>
      <w:r>
        <w:rPr>
          <w:sz w:val="28"/>
          <w:szCs w:val="28"/>
        </w:rPr>
        <w:t xml:space="preserve">Учреждения </w:t>
      </w:r>
      <w:r w:rsidR="00DD3349">
        <w:rPr>
          <w:sz w:val="28"/>
          <w:szCs w:val="28"/>
        </w:rPr>
        <w:t>Корн</w:t>
      </w:r>
      <w:r w:rsidR="00565B81">
        <w:rPr>
          <w:sz w:val="28"/>
          <w:szCs w:val="28"/>
        </w:rPr>
        <w:t xml:space="preserve">илова </w:t>
      </w:r>
      <w:r w:rsidR="00DD3349">
        <w:rPr>
          <w:sz w:val="28"/>
          <w:szCs w:val="28"/>
        </w:rPr>
        <w:t>Т.Н</w:t>
      </w:r>
      <w:r>
        <w:rPr>
          <w:sz w:val="28"/>
          <w:szCs w:val="28"/>
        </w:rPr>
        <w:t xml:space="preserve">. </w:t>
      </w:r>
      <w:r w:rsidRPr="00FE7663">
        <w:rPr>
          <w:sz w:val="28"/>
          <w:szCs w:val="28"/>
        </w:rPr>
        <w:t>ранее привлекалась к административной ответственности, в материалах дела отсутствуют.</w:t>
      </w:r>
    </w:p>
    <w:p w:rsidR="00FE7663" w:rsidRPr="00B2011E" w:rsidP="001033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2011E">
        <w:rPr>
          <w:color w:val="000000"/>
          <w:sz w:val="28"/>
          <w:szCs w:val="28"/>
        </w:rPr>
        <w:t>Учитыв</w:t>
      </w:r>
      <w:r>
        <w:rPr>
          <w:color w:val="000000"/>
          <w:sz w:val="28"/>
          <w:szCs w:val="28"/>
        </w:rPr>
        <w:t>ая данное обстоятельство, а так</w:t>
      </w:r>
      <w:r w:rsidRPr="00B2011E">
        <w:rPr>
          <w:color w:val="000000"/>
          <w:sz w:val="28"/>
          <w:szCs w:val="28"/>
        </w:rPr>
        <w:t xml:space="preserve">же то, что совершенное </w:t>
      </w:r>
      <w:r>
        <w:rPr>
          <w:color w:val="000000"/>
          <w:sz w:val="28"/>
          <w:szCs w:val="28"/>
        </w:rPr>
        <w:t xml:space="preserve">должностным </w:t>
      </w:r>
      <w:r w:rsidRPr="00B2011E">
        <w:rPr>
          <w:color w:val="000000"/>
          <w:sz w:val="28"/>
          <w:szCs w:val="28"/>
        </w:rPr>
        <w:t xml:space="preserve">лицом деяние не повлекло причинения вреда или угрозы </w:t>
      </w:r>
      <w:r w:rsidRPr="00B2011E">
        <w:rPr>
          <w:color w:val="000000"/>
          <w:sz w:val="28"/>
          <w:szCs w:val="28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</w:t>
      </w:r>
      <w:r w:rsidRPr="00B2011E">
        <w:rPr>
          <w:color w:val="000000"/>
          <w:sz w:val="28"/>
          <w:szCs w:val="28"/>
        </w:rPr>
        <w:t>о и техногенного характера, имущественного ущерба, судья находит возможным замену наказания в виде штрафа предупреждением.</w:t>
      </w:r>
    </w:p>
    <w:p w:rsidR="00C5576E" w:rsidRPr="008E7F97" w:rsidP="00103328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 w:rsidR="008819D2">
        <w:rPr>
          <w:sz w:val="28"/>
          <w:szCs w:val="28"/>
        </w:rPr>
        <w:t xml:space="preserve"> </w:t>
      </w:r>
      <w:r w:rsidR="00FE7663">
        <w:rPr>
          <w:sz w:val="28"/>
          <w:szCs w:val="28"/>
          <w:lang w:val="ru-RU"/>
        </w:rPr>
        <w:t xml:space="preserve">4.1.1, </w:t>
      </w:r>
      <w:r w:rsidR="008819D2">
        <w:rPr>
          <w:sz w:val="28"/>
          <w:szCs w:val="28"/>
        </w:rPr>
        <w:t>29.9, 29.10</w:t>
      </w:r>
      <w:r w:rsidR="008819D2"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C5576E" w:rsidRPr="008E7F97" w:rsidP="00103328">
      <w:pPr>
        <w:pStyle w:val="BodyTextIndent"/>
        <w:suppressAutoHyphens/>
        <w:rPr>
          <w:sz w:val="28"/>
          <w:szCs w:val="28"/>
        </w:rPr>
      </w:pPr>
    </w:p>
    <w:p w:rsidR="00C5576E" w:rsidRPr="008E7F97" w:rsidP="0010332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</w:t>
      </w:r>
      <w:r w:rsidRPr="008E7F97">
        <w:rPr>
          <w:sz w:val="28"/>
          <w:szCs w:val="28"/>
        </w:rPr>
        <w:t>Л:</w:t>
      </w:r>
    </w:p>
    <w:p w:rsidR="00C1436B" w:rsidP="00103328">
      <w:pPr>
        <w:pStyle w:val="BodyTextIndent"/>
        <w:suppressAutoHyphens/>
        <w:rPr>
          <w:sz w:val="28"/>
          <w:szCs w:val="28"/>
        </w:rPr>
      </w:pPr>
    </w:p>
    <w:p w:rsidR="00DF5FF6" w:rsidRPr="00DF5FF6" w:rsidP="00103328">
      <w:pPr>
        <w:pStyle w:val="BodyTextIndent"/>
        <w:suppressAutoHyphens/>
        <w:rPr>
          <w:sz w:val="28"/>
          <w:szCs w:val="28"/>
          <w:lang w:val="ru-RU"/>
        </w:rPr>
      </w:pPr>
      <w:r w:rsidRPr="00DD3349">
        <w:rPr>
          <w:sz w:val="28"/>
          <w:szCs w:val="28"/>
          <w:lang w:val="ru-RU"/>
        </w:rPr>
        <w:t>директора муниципального бюджетного общеобразовательного учреждения «Средняя школа № 13</w:t>
      </w:r>
      <w:r w:rsidRPr="005627A2" w:rsidR="005627A2">
        <w:rPr>
          <w:sz w:val="28"/>
          <w:szCs w:val="28"/>
        </w:rPr>
        <w:t xml:space="preserve"> </w:t>
      </w:r>
      <w:r w:rsidRPr="0020161E" w:rsidR="005627A2">
        <w:rPr>
          <w:sz w:val="28"/>
          <w:szCs w:val="28"/>
        </w:rPr>
        <w:t>с углубленным изучением отдельных предметов»</w:t>
      </w:r>
      <w:r w:rsidR="005627A2">
        <w:rPr>
          <w:sz w:val="28"/>
          <w:szCs w:val="28"/>
          <w:lang w:val="ru-RU"/>
        </w:rPr>
        <w:t xml:space="preserve"> </w:t>
      </w:r>
      <w:r w:rsidRPr="00DD3349">
        <w:rPr>
          <w:sz w:val="28"/>
          <w:szCs w:val="28"/>
          <w:lang w:val="ru-RU"/>
        </w:rPr>
        <w:t xml:space="preserve">Корнилову Татьяну </w:t>
      </w:r>
      <w:r w:rsidR="00077E45">
        <w:rPr>
          <w:sz w:val="28"/>
          <w:szCs w:val="28"/>
          <w:lang w:val="ru-RU"/>
        </w:rPr>
        <w:t>Николаевну</w:t>
      </w:r>
      <w:r>
        <w:rPr>
          <w:sz w:val="28"/>
          <w:szCs w:val="28"/>
          <w:lang w:val="ru-RU"/>
        </w:rPr>
        <w:t xml:space="preserve"> </w:t>
      </w:r>
      <w:r w:rsidRPr="008E7F97" w:rsidR="00C5576E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>ой</w:t>
      </w:r>
      <w:r w:rsidR="00C5576E">
        <w:rPr>
          <w:sz w:val="28"/>
          <w:szCs w:val="28"/>
          <w:lang w:val="ru-RU"/>
        </w:rPr>
        <w:t xml:space="preserve"> </w:t>
      </w:r>
      <w:r w:rsidRPr="008E7F97" w:rsidR="00C5576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5627A2">
        <w:rPr>
          <w:sz w:val="28"/>
          <w:szCs w:val="28"/>
          <w:lang w:val="ru-RU"/>
        </w:rPr>
        <w:t xml:space="preserve">ч. 4 </w:t>
      </w:r>
      <w:r w:rsidR="00067EA3">
        <w:rPr>
          <w:sz w:val="28"/>
          <w:szCs w:val="28"/>
        </w:rPr>
        <w:t>ст.</w:t>
      </w:r>
      <w:r w:rsidR="005627A2">
        <w:rPr>
          <w:sz w:val="28"/>
          <w:szCs w:val="28"/>
          <w:lang w:val="ru-RU"/>
        </w:rPr>
        <w:t xml:space="preserve"> </w:t>
      </w:r>
      <w:r w:rsidR="00067EA3">
        <w:rPr>
          <w:sz w:val="28"/>
          <w:szCs w:val="28"/>
        </w:rPr>
        <w:t>1</w:t>
      </w:r>
      <w:r w:rsidR="00067EA3">
        <w:rPr>
          <w:sz w:val="28"/>
          <w:szCs w:val="28"/>
          <w:lang w:val="ru-RU"/>
        </w:rPr>
        <w:t>5</w:t>
      </w:r>
      <w:r w:rsidR="00067EA3">
        <w:rPr>
          <w:sz w:val="28"/>
          <w:szCs w:val="28"/>
        </w:rPr>
        <w:t>.</w:t>
      </w:r>
      <w:r w:rsidR="005627A2">
        <w:rPr>
          <w:sz w:val="28"/>
          <w:szCs w:val="28"/>
          <w:lang w:val="ru-RU"/>
        </w:rPr>
        <w:t>15.6</w:t>
      </w:r>
      <w:r w:rsidRPr="008E7F97" w:rsidR="00C5576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5576E">
        <w:rPr>
          <w:sz w:val="28"/>
          <w:szCs w:val="28"/>
        </w:rPr>
        <w:t>,</w:t>
      </w:r>
      <w:r w:rsidRPr="008E7F97" w:rsidR="00C5576E">
        <w:rPr>
          <w:sz w:val="28"/>
          <w:szCs w:val="28"/>
        </w:rPr>
        <w:t xml:space="preserve"> и назначить наказание в виде </w:t>
      </w:r>
      <w:r>
        <w:rPr>
          <w:sz w:val="28"/>
          <w:szCs w:val="28"/>
          <w:lang w:val="ru-RU"/>
        </w:rPr>
        <w:t xml:space="preserve">предупреждения. </w:t>
      </w:r>
    </w:p>
    <w:p w:rsidR="00C5576E" w:rsidP="00103328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DD3349">
        <w:rPr>
          <w:sz w:val="28"/>
          <w:szCs w:val="28"/>
        </w:rPr>
        <w:t>дней</w:t>
      </w:r>
      <w:r w:rsidRPr="008E7F97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C5576E" w:rsidP="00103328">
      <w:pPr>
        <w:ind w:firstLine="540"/>
        <w:jc w:val="both"/>
        <w:rPr>
          <w:sz w:val="28"/>
          <w:szCs w:val="28"/>
        </w:rPr>
      </w:pPr>
    </w:p>
    <w:p w:rsidR="00DD3349" w:rsidRPr="00DD3349" w:rsidP="00103328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DD3349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5D3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907" w:bottom="426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408">
      <w:rPr>
        <w:rStyle w:val="PageNumber"/>
        <w:noProof/>
      </w:rPr>
      <w:t>5</w:t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331A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1E32B6" w:rsidR="001E32B6">
      <w:rPr>
        <w:noProof/>
        <w:lang w:val="ru-RU"/>
      </w:rPr>
      <w:t>6</w:t>
    </w:r>
    <w:r>
      <w:fldChar w:fldCharType="end"/>
    </w:r>
  </w:p>
  <w:p w:rsidR="004A4F20">
    <w:pPr>
      <w:pStyle w:val="Header"/>
    </w:pPr>
  </w:p>
  <w:p w:rsidR="00331A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9252B4"/>
    <w:multiLevelType w:val="multilevel"/>
    <w:tmpl w:val="27F65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5645F6"/>
    <w:multiLevelType w:val="multilevel"/>
    <w:tmpl w:val="4FB0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F97EEA"/>
    <w:multiLevelType w:val="multilevel"/>
    <w:tmpl w:val="7846991A"/>
    <w:lvl w:ilvl="0">
      <w:start w:val="65"/>
      <w:numFmt w:val="decimal"/>
      <w:lvlText w:val="6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CE2726D"/>
    <w:multiLevelType w:val="multilevel"/>
    <w:tmpl w:val="0040CE94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EEF1C24"/>
    <w:multiLevelType w:val="multilevel"/>
    <w:tmpl w:val="7184335A"/>
    <w:lvl w:ilvl="0">
      <w:start w:val="65"/>
      <w:numFmt w:val="decimal"/>
      <w:lvlText w:val="1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0E54B4A"/>
    <w:multiLevelType w:val="multilevel"/>
    <w:tmpl w:val="45261906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2DE267D"/>
    <w:multiLevelType w:val="multilevel"/>
    <w:tmpl w:val="8D30D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0CB6"/>
    <w:rsid w:val="000273C0"/>
    <w:rsid w:val="000443E9"/>
    <w:rsid w:val="00055A8C"/>
    <w:rsid w:val="00064DA1"/>
    <w:rsid w:val="00067EA3"/>
    <w:rsid w:val="000778DA"/>
    <w:rsid w:val="00077E45"/>
    <w:rsid w:val="000813DF"/>
    <w:rsid w:val="000A0953"/>
    <w:rsid w:val="000B08FB"/>
    <w:rsid w:val="000E1605"/>
    <w:rsid w:val="000F168D"/>
    <w:rsid w:val="00103328"/>
    <w:rsid w:val="001046B4"/>
    <w:rsid w:val="001060FA"/>
    <w:rsid w:val="00113C0D"/>
    <w:rsid w:val="00117548"/>
    <w:rsid w:val="001219B7"/>
    <w:rsid w:val="00134AD2"/>
    <w:rsid w:val="00156F96"/>
    <w:rsid w:val="00157F97"/>
    <w:rsid w:val="00160DC4"/>
    <w:rsid w:val="0016224B"/>
    <w:rsid w:val="0017032E"/>
    <w:rsid w:val="00177927"/>
    <w:rsid w:val="0018574D"/>
    <w:rsid w:val="001A3088"/>
    <w:rsid w:val="001D1B0F"/>
    <w:rsid w:val="001E22DF"/>
    <w:rsid w:val="001E32B6"/>
    <w:rsid w:val="001F15C4"/>
    <w:rsid w:val="001F5682"/>
    <w:rsid w:val="0020161E"/>
    <w:rsid w:val="00204F09"/>
    <w:rsid w:val="002128A0"/>
    <w:rsid w:val="0022382F"/>
    <w:rsid w:val="002344EA"/>
    <w:rsid w:val="00266F79"/>
    <w:rsid w:val="00280652"/>
    <w:rsid w:val="0029121B"/>
    <w:rsid w:val="00292F2A"/>
    <w:rsid w:val="00295031"/>
    <w:rsid w:val="00296D9E"/>
    <w:rsid w:val="0029731F"/>
    <w:rsid w:val="002A0F85"/>
    <w:rsid w:val="002B6782"/>
    <w:rsid w:val="002E7FF2"/>
    <w:rsid w:val="002F35AB"/>
    <w:rsid w:val="0030473F"/>
    <w:rsid w:val="0031679A"/>
    <w:rsid w:val="003231FA"/>
    <w:rsid w:val="00325AEE"/>
    <w:rsid w:val="003300E8"/>
    <w:rsid w:val="00331A77"/>
    <w:rsid w:val="00344637"/>
    <w:rsid w:val="003452AE"/>
    <w:rsid w:val="003460BE"/>
    <w:rsid w:val="003479C9"/>
    <w:rsid w:val="0035103B"/>
    <w:rsid w:val="00351281"/>
    <w:rsid w:val="00366891"/>
    <w:rsid w:val="0038511F"/>
    <w:rsid w:val="003856B7"/>
    <w:rsid w:val="003B25D6"/>
    <w:rsid w:val="003D371E"/>
    <w:rsid w:val="003D4B8D"/>
    <w:rsid w:val="00407BE7"/>
    <w:rsid w:val="00430C9E"/>
    <w:rsid w:val="00432360"/>
    <w:rsid w:val="0045263D"/>
    <w:rsid w:val="00474236"/>
    <w:rsid w:val="00480606"/>
    <w:rsid w:val="00496DA4"/>
    <w:rsid w:val="004A4F20"/>
    <w:rsid w:val="004B326E"/>
    <w:rsid w:val="004B7FEA"/>
    <w:rsid w:val="004C1435"/>
    <w:rsid w:val="004D6EB0"/>
    <w:rsid w:val="004D79CB"/>
    <w:rsid w:val="004D7FDE"/>
    <w:rsid w:val="005321B6"/>
    <w:rsid w:val="005343E1"/>
    <w:rsid w:val="005472A9"/>
    <w:rsid w:val="005627A2"/>
    <w:rsid w:val="00565B81"/>
    <w:rsid w:val="00566599"/>
    <w:rsid w:val="00567E91"/>
    <w:rsid w:val="0059384B"/>
    <w:rsid w:val="00597B8C"/>
    <w:rsid w:val="005B1464"/>
    <w:rsid w:val="005D3608"/>
    <w:rsid w:val="005E13F7"/>
    <w:rsid w:val="005F3AB3"/>
    <w:rsid w:val="00626B76"/>
    <w:rsid w:val="0063016B"/>
    <w:rsid w:val="00644BA6"/>
    <w:rsid w:val="00647336"/>
    <w:rsid w:val="00661144"/>
    <w:rsid w:val="00665703"/>
    <w:rsid w:val="006702E4"/>
    <w:rsid w:val="00670FD8"/>
    <w:rsid w:val="006869B2"/>
    <w:rsid w:val="006A4332"/>
    <w:rsid w:val="006C0C70"/>
    <w:rsid w:val="006C3BB7"/>
    <w:rsid w:val="0071127C"/>
    <w:rsid w:val="00715E0A"/>
    <w:rsid w:val="00724CF8"/>
    <w:rsid w:val="0073185E"/>
    <w:rsid w:val="00740A86"/>
    <w:rsid w:val="00747327"/>
    <w:rsid w:val="00761677"/>
    <w:rsid w:val="00762279"/>
    <w:rsid w:val="00763622"/>
    <w:rsid w:val="00771971"/>
    <w:rsid w:val="007F03A5"/>
    <w:rsid w:val="007F6427"/>
    <w:rsid w:val="0082151B"/>
    <w:rsid w:val="0084192E"/>
    <w:rsid w:val="008819D2"/>
    <w:rsid w:val="008C6417"/>
    <w:rsid w:val="008D5108"/>
    <w:rsid w:val="008D518F"/>
    <w:rsid w:val="008D58F0"/>
    <w:rsid w:val="008E135A"/>
    <w:rsid w:val="008E7F97"/>
    <w:rsid w:val="00901AE3"/>
    <w:rsid w:val="00905801"/>
    <w:rsid w:val="00922388"/>
    <w:rsid w:val="0096346F"/>
    <w:rsid w:val="0096486A"/>
    <w:rsid w:val="00964D94"/>
    <w:rsid w:val="009717E3"/>
    <w:rsid w:val="009839CD"/>
    <w:rsid w:val="009B13D1"/>
    <w:rsid w:val="009C4536"/>
    <w:rsid w:val="00A00376"/>
    <w:rsid w:val="00A02671"/>
    <w:rsid w:val="00A050D9"/>
    <w:rsid w:val="00A30408"/>
    <w:rsid w:val="00A33105"/>
    <w:rsid w:val="00A47A0A"/>
    <w:rsid w:val="00A53AF3"/>
    <w:rsid w:val="00A5679E"/>
    <w:rsid w:val="00A8467B"/>
    <w:rsid w:val="00AA4DBD"/>
    <w:rsid w:val="00AB25E4"/>
    <w:rsid w:val="00B05A9E"/>
    <w:rsid w:val="00B2011E"/>
    <w:rsid w:val="00B31B31"/>
    <w:rsid w:val="00B33EEE"/>
    <w:rsid w:val="00B72B86"/>
    <w:rsid w:val="00B77C36"/>
    <w:rsid w:val="00B84812"/>
    <w:rsid w:val="00B870BE"/>
    <w:rsid w:val="00BA0DA9"/>
    <w:rsid w:val="00BA5F66"/>
    <w:rsid w:val="00BB2695"/>
    <w:rsid w:val="00BB55CE"/>
    <w:rsid w:val="00BB7BE5"/>
    <w:rsid w:val="00BC3322"/>
    <w:rsid w:val="00BC425F"/>
    <w:rsid w:val="00C1436B"/>
    <w:rsid w:val="00C179C3"/>
    <w:rsid w:val="00C23632"/>
    <w:rsid w:val="00C253D3"/>
    <w:rsid w:val="00C33246"/>
    <w:rsid w:val="00C333B8"/>
    <w:rsid w:val="00C54392"/>
    <w:rsid w:val="00C5576E"/>
    <w:rsid w:val="00C63126"/>
    <w:rsid w:val="00C73ADD"/>
    <w:rsid w:val="00CA55B9"/>
    <w:rsid w:val="00D022C4"/>
    <w:rsid w:val="00D03CE9"/>
    <w:rsid w:val="00D04BE9"/>
    <w:rsid w:val="00D06801"/>
    <w:rsid w:val="00D1217A"/>
    <w:rsid w:val="00D33ECD"/>
    <w:rsid w:val="00D469EF"/>
    <w:rsid w:val="00D5064F"/>
    <w:rsid w:val="00D628EB"/>
    <w:rsid w:val="00D670A8"/>
    <w:rsid w:val="00D7270B"/>
    <w:rsid w:val="00D77B12"/>
    <w:rsid w:val="00D8056D"/>
    <w:rsid w:val="00D829A7"/>
    <w:rsid w:val="00D83162"/>
    <w:rsid w:val="00D852CE"/>
    <w:rsid w:val="00DC2BBD"/>
    <w:rsid w:val="00DD3349"/>
    <w:rsid w:val="00DD3601"/>
    <w:rsid w:val="00DE2FE7"/>
    <w:rsid w:val="00DF5FF6"/>
    <w:rsid w:val="00E05767"/>
    <w:rsid w:val="00E12D47"/>
    <w:rsid w:val="00E237B0"/>
    <w:rsid w:val="00E23F7F"/>
    <w:rsid w:val="00E51B82"/>
    <w:rsid w:val="00E6414E"/>
    <w:rsid w:val="00E66E1D"/>
    <w:rsid w:val="00E6732D"/>
    <w:rsid w:val="00E8745E"/>
    <w:rsid w:val="00EB5988"/>
    <w:rsid w:val="00EE7CFC"/>
    <w:rsid w:val="00EF3236"/>
    <w:rsid w:val="00F23C84"/>
    <w:rsid w:val="00F44EBE"/>
    <w:rsid w:val="00F45670"/>
    <w:rsid w:val="00F61290"/>
    <w:rsid w:val="00F61BD3"/>
    <w:rsid w:val="00F62323"/>
    <w:rsid w:val="00F63C23"/>
    <w:rsid w:val="00F75A4F"/>
    <w:rsid w:val="00F804FC"/>
    <w:rsid w:val="00F85985"/>
    <w:rsid w:val="00FB0469"/>
    <w:rsid w:val="00FD0F98"/>
    <w:rsid w:val="00FE7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0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7">
    <w:name w:val="Подпись к таблице_"/>
    <w:basedOn w:val="DefaultParagraphFont"/>
    <w:link w:val="a8"/>
    <w:rsid w:val="00010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Normal"/>
    <w:link w:val="a7"/>
    <w:rsid w:val="00010CB6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  <w:lang w:eastAsia="en-US"/>
    </w:rPr>
  </w:style>
  <w:style w:type="paragraph" w:styleId="BlockText">
    <w:name w:val="Block Text"/>
    <w:basedOn w:val="Normal"/>
    <w:rsid w:val="009839CD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90C0-FBEE-4156-B8A9-A9D23BC2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